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Christopher Lamoreaux Jr.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(516) 592 - 2115 | cel7682@nyu.edu |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linkedin.com/in/christopher-l-9802a532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YORK UNIVERSITY, SCHACK INSTITUTE OF REAL ESTATE      </w:t>
        <w:tab/>
        <w:t xml:space="preserve">           New York, NY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BS in Real Estate, GPA 3.4                                                                            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Concentration in Real Estate Development</w:t>
        <w:tab/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Relevant Coursework: Urban Real Estate Economics, Real Estate Finance, Real Estate Law, Real Estate Capital Markets, Real Estate Development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Kellenberg Memorial High School, </w:t>
        <w:tab/>
        <w:tab/>
        <w:tab/>
        <w:tab/>
        <w:tab/>
        <w:t xml:space="preserve">Uniondale, New York             High School Diploma GPA 90.59/100</w:t>
        <w:tab/>
        <w:tab/>
        <w:tab/>
        <w:tab/>
        <w:tab/>
        <w:tab/>
        <w:t xml:space="preserve">          </w:t>
        <w:tab/>
        <w:t xml:space="preserve">   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Honors &amp; Awards: Dean’s List, Honor Roll, National Honor Society, Senior Mentor, Varsity Sport Captain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Verizon Wireless (Subsidiary) </w:t>
        <w:tab/>
        <w:tab/>
        <w:tab/>
        <w:tab/>
        <w:tab/>
        <w:tab/>
        <w:tab/>
        <w:t xml:space="preserve">New York, New York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Operations Intern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May 2025 – September 2025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Contributed to infrastructure upgrades across seven major New York metropolitan assets, including Madison Square Garden, Flushing Meadows–Corona Park, and 1515 Broadway, ensuring compliance with local, state, and federal building regulations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Assisted in decommissioning two diesel-powered generators and supported integration of solar and battery energy systems, reducing annual operating costs by approximately $1,500 and improving asset energy efficiency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with 18+ licensed electricians, engineers, and project managers to modernize telecommunications systems across high-traffic commercial venues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City of Newport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Newport, Rhode Island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Office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September 2024-November 2024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1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with U.S. senators, congressmen, and city officials to support community development initiatives and policy discussions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1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Facilitated weekly meetings between municipal leaders and local stakeholders regarding development proposals, public safety, and zoning concerns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1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outreach to 150+ constituents through direct engagement and communications strategy, strengthening community visibility and civic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LEADERSHIP &amp; ACTIVITIES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NYU Schack Real Estate Club, NYU Investment Banking Society, NYU Men’s Lacrosse, Student Retreat Leader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ACADEMIC PROJECTS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1326 College Avenue - Strategic Retrofit                                               January 2026 - February 2026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Analyzed the acquisition and renovation of a pre-war NYC multifamily asset, structuring a conservative capital stack and underwriting supported by comparable sales data and realistic rent assumptions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Modeled multiple exit strategies, including immediate sale and long-term hold scenarios, evaluating NOI growth, debt service coverage, and stabilized valuation at market cap rates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Integrated energy-efficiency upgrades, Local Law 97 compliance planning, and construction risk mitigation to demonstrate how operational improvements enhance asset value while preserving neighborhood fabric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HomeLink - AI Powered Affordable Housing Matching Platform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October 2025 – December 2025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Designed an AI-driven platform concept to modernize NYC Housing Connect by automating eligibility screening, predictive vacancy alerts, and applicant matching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Developed a hypothesis-based operational model aimed at reducing lease-up timelines, minimizing affordability mismatches, and decreasing vacancy loss across affordable housing portfolios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Analyzed stakeholder integration across residents, nonprofit case managers, developers, and city agencies (HPD/HDC) to evaluate data coordination, transparency, and pilot feasibility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Sustainable Value Analysis - 7 World Trade Center                          December 2025 - February 2026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Conducted an operational sustainability assessment of a Class A Manhattan office asset, evaluating energy efficiency upgrades and capital improvement strategies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Modeled projected NOI impact and long-term asset value implications of ESG-driven operational enhancements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Developed an investor-facing presentation positioning sustainability initiatives as performance-based value creation strategies rather than compliance measures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Financial Modeling: DCF, Comparable Company Analysis, 3-Statement Modeling</w:t>
        <w:br w:type="textWrapping"/>
        <w:t xml:space="preserve"> • Excel: NPV, IRR, XIRR, SUMPRODUCT, Sensitivity Analysis</w:t>
        <w:br w:type="textWrapping"/>
        <w:t xml:space="preserve"> • Development Analysis: Blueprint Review, Site Plans, Construction Documents, Structural Drawings</w:t>
        <w:br w:type="textWrapping"/>
        <w:t xml:space="preserve"> • Regulatory: Building Codes, Zoning Considerations, Compliance Review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06.4000000000001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8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